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22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966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966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966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966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966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«27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августа 2024 года  № 2736/02-05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22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966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966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966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966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966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«27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августа 2024 года  № 2736/02-05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2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22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30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30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0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30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0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30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0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2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30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30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0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30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0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30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0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22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22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22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22"/>
        <w:pBdr/>
        <w:spacing/>
        <w:ind/>
        <w:jc w:val="both"/>
        <w:rPr/>
      </w:pPr>
      <w:r/>
      <w:r/>
    </w:p>
    <w:p>
      <w:pPr>
        <w:pStyle w:val="922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22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2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2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2"/>
        <w:pBdr/>
        <w:spacing/>
        <w:ind/>
        <w:rPr/>
      </w:pPr>
      <w:r>
        <w:t xml:space="preserve">       </w:t>
      </w:r>
      <w:r/>
    </w:p>
    <w:p>
      <w:pPr>
        <w:pStyle w:val="922"/>
        <w:pBdr/>
        <w:spacing/>
        <w:ind/>
        <w:jc w:val="both"/>
        <w:rPr/>
      </w:pPr>
      <w:r/>
      <w:r/>
    </w:p>
    <w:p>
      <w:pPr>
        <w:pStyle w:val="922"/>
        <w:pBdr/>
        <w:spacing/>
        <w:ind/>
        <w:jc w:val="both"/>
        <w:rPr/>
      </w:pPr>
      <w:r/>
      <w:r/>
    </w:p>
    <w:p>
      <w:pPr>
        <w:pStyle w:val="922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22"/>
        <w:pBdr/>
        <w:spacing/>
        <w:ind/>
        <w:rPr/>
      </w:pPr>
      <w:r/>
      <w:r/>
    </w:p>
    <w:p>
      <w:pPr>
        <w:pStyle w:val="922"/>
        <w:pBdr/>
        <w:spacing/>
        <w:ind/>
        <w:rPr/>
      </w:pPr>
      <w:r/>
      <w:r/>
    </w:p>
    <w:p>
      <w:pPr>
        <w:pStyle w:val="922"/>
        <w:pBdr/>
        <w:spacing/>
        <w:ind/>
        <w:rPr/>
      </w:pPr>
      <w:r/>
      <w:r/>
    </w:p>
    <w:p>
      <w:pPr>
        <w:pStyle w:val="922"/>
        <w:pBdr/>
        <w:spacing/>
        <w:ind/>
        <w:rPr/>
      </w:pPr>
      <w:r/>
      <w:r/>
    </w:p>
    <w:p>
      <w:pPr>
        <w:pStyle w:val="922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28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</w:p>
    <w:p>
      <w:pPr>
        <w:pStyle w:val="928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28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Извещение о проведении аукциона на право заключения договора аренды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28"/>
        <w:pBdr/>
        <w:spacing w:line="260" w:lineRule="exact"/>
        <w:ind/>
        <w:jc w:val="center"/>
        <w:rPr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земельного участка в электронной форме</w:t>
      </w:r>
      <w:r>
        <w:rPr>
          <w:b/>
          <w:bCs/>
        </w:rPr>
      </w:r>
      <w:r>
        <w:rPr>
          <w:b/>
          <w:bCs/>
          <w:highlight w:val="none"/>
        </w:rPr>
      </w:r>
    </w:p>
    <w:p>
      <w:pPr>
        <w:pStyle w:val="928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8"/>
        <w:pBdr/>
        <w:spacing w:line="260" w:lineRule="exact"/>
        <w:ind w:firstLine="426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В соответстви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  <w:szCs w:val="28"/>
        </w:rPr>
        <w:t xml:space="preserve">Шарьинского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Костромской  области </w:t>
      </w:r>
      <w:r>
        <w:rPr>
          <w:rFonts w:ascii="Times New Roman" w:hAnsi="Times New Roman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26.08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t xml:space="preserve">02</w:t>
      </w:r>
      <w:r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323 </w:t>
      </w:r>
      <w:r>
        <w:rPr>
          <w:rFonts w:ascii="Times New Roman" w:hAnsi="Times New Roman"/>
          <w:sz w:val="28"/>
          <w:szCs w:val="28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8"/>
          <w:szCs w:val="28"/>
        </w:rPr>
        <w:t xml:space="preserve">являющаяся организатором аукцион</w:t>
      </w:r>
      <w:r>
        <w:rPr>
          <w:rFonts w:ascii="Times New Roman" w:hAnsi="Times New Roman"/>
          <w:sz w:val="28"/>
          <w:szCs w:val="28"/>
        </w:rPr>
        <w:t xml:space="preserve">а,  проводит </w:t>
      </w:r>
      <w:r>
        <w:rPr>
          <w:rFonts w:ascii="Times New Roman" w:hAnsi="Times New Roman"/>
          <w:sz w:val="28"/>
          <w:szCs w:val="28"/>
        </w:rPr>
        <w:t xml:space="preserve">электронный </w:t>
      </w:r>
      <w:r>
        <w:rPr>
          <w:rFonts w:ascii="Times New Roman" w:hAnsi="Times New Roman"/>
          <w:sz w:val="28"/>
          <w:szCs w:val="28"/>
        </w:rPr>
        <w:t xml:space="preserve">аукцион</w:t>
      </w:r>
      <w:r>
        <w:rPr>
          <w:rFonts w:ascii="Times New Roman" w:hAnsi="Times New Roman"/>
          <w:sz w:val="28"/>
          <w:szCs w:val="28"/>
        </w:rPr>
        <w:t xml:space="preserve"> 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 (далее -аукцион)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none"/>
        </w:rPr>
        <w:t xml:space="preserve">1. Организ</w:t>
      </w:r>
      <w:r>
        <w:rPr>
          <w:b/>
          <w:bCs/>
          <w:sz w:val="28"/>
          <w:szCs w:val="28"/>
          <w:u w:val="none"/>
        </w:rPr>
        <w:t xml:space="preserve">атор аукциона: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8"/>
          <w:szCs w:val="28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8"/>
          <w:szCs w:val="28"/>
          <w:lang w:val="en-US"/>
        </w:rPr>
        <w:t xml:space="preserve">E</w:t>
      </w:r>
      <w:r>
        <w:rPr>
          <w:rFonts w:eastAsia="Times New Roman" w:cs="Tahoma"/>
          <w:sz w:val="28"/>
          <w:szCs w:val="28"/>
        </w:rPr>
        <w:t xml:space="preserve">-</w:t>
      </w:r>
      <w:r>
        <w:rPr>
          <w:rFonts w:eastAsia="Times New Roman" w:cs="Tahoma"/>
          <w:sz w:val="28"/>
          <w:szCs w:val="28"/>
          <w:lang w:val="en-US"/>
        </w:rPr>
        <w:t xml:space="preserve">mail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  <w:lang w:val="en-US"/>
        </w:rPr>
        <w:t xml:space="preserve">sharya@kostroma.gov.ru</w:t>
      </w:r>
      <w:r>
        <w:rPr>
          <w:sz w:val="28"/>
          <w:szCs w:val="28"/>
        </w:rPr>
      </w:r>
    </w:p>
    <w:p>
      <w:pPr>
        <w:pStyle w:val="922"/>
        <w:pBdr/>
        <w:tabs>
          <w:tab w:val="left" w:leader="none" w:pos="4515"/>
        </w:tabs>
        <w:spacing/>
        <w:ind w:right="0"/>
        <w:jc w:val="both"/>
        <w:rPr/>
      </w:pPr>
      <w:r>
        <w:rPr>
          <w:b/>
          <w:bCs/>
          <w:sz w:val="28"/>
          <w:szCs w:val="28"/>
        </w:rPr>
        <w:t xml:space="preserve">2. Предмет аукциона:</w:t>
      </w:r>
      <w:r>
        <w:rPr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земли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населенных пунктов с кадастровым номером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44:24: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050801:242, имеющий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местоположение: Российская Федерация,  Ко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стромская область, Шарьинский муниципальный район, Ивановское сельское поселение, д. Пустошка, з/у 9а  с разрешенным использованием -  для ведения личного подсобного хозяйства (приусадебный земельный участок) общей площадью 1576 кв.м</w:t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Начальная цена предмета аукциона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на право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на заключение договора аренды земельного участка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- 3060 рублей (три тысячи шестьдесят рублей) в соответствии с заключением о произведенной работе по оценке рыночной стоимости годовой арендной платы, выполненного ООО  НП «Агентство Оценки»  по состоянию на 09 апреля 2024 года, отчет № 7989,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 сумма задатка – 612 руб. 00 коп. (шестьсот двенадцать рублей),  шаг аукциона - 91 руб. 80 коп. (девяносто один рубль 80 копеек).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</w:r>
      <w:r>
        <w:rPr>
          <w:rFonts w:eastAsia="Times New Roman" w:cs="Times New Roman"/>
        </w:rPr>
      </w:r>
    </w:p>
    <w:p>
      <w:pPr>
        <w:pStyle w:val="922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3. </w:t>
      </w:r>
      <w:r>
        <w:rPr>
          <w:b/>
          <w:bCs/>
          <w:sz w:val="28"/>
          <w:szCs w:val="28"/>
        </w:rPr>
        <w:t xml:space="preserve">Сведения об  обременениях, особых условиях использования:</w:t>
      </w:r>
      <w:r>
        <w:rPr>
          <w:b/>
          <w:bCs/>
        </w:rPr>
      </w:r>
      <w:r>
        <w:rPr>
          <w:b/>
          <w:bCs/>
          <w:highlight w:val="none"/>
        </w:rPr>
      </w:r>
    </w:p>
    <w:p>
      <w:pPr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highlight w:val="none"/>
        </w:rPr>
      </w:pPr>
      <w:r>
        <w:rPr>
          <w:rFonts w:eastAsia="Times New Roman" w:cs="Tahoma"/>
          <w:b w:val="0"/>
          <w:bCs w:val="0"/>
          <w:sz w:val="28"/>
          <w:szCs w:val="28"/>
          <w:lang w:val="ru-RU"/>
        </w:rPr>
        <w:t xml:space="preserve">Сведения об особых условиях использования: - </w:t>
      </w:r>
      <w:r>
        <w:rPr>
          <w:rFonts w:eastAsia="Times New Roman" w:cs="Times New Roman"/>
          <w:b w:val="0"/>
          <w:bCs w:val="0"/>
          <w:sz w:val="28"/>
          <w:szCs w:val="28"/>
          <w:lang w:val="ru-RU" w:eastAsia="ar-SA"/>
        </w:rPr>
        <w:t xml:space="preserve">отсутствуют.</w:t>
      </w:r>
      <w:r>
        <w:rPr>
          <w:highlight w:val="none"/>
        </w:rPr>
      </w:r>
      <w:r>
        <w:rPr>
          <w:highlight w:val="none"/>
        </w:rPr>
      </w:r>
    </w:p>
    <w:p>
      <w:pPr>
        <w:pStyle w:val="922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highlight w:val="none"/>
          <w:lang w:eastAsia="ar-SA"/>
        </w:rPr>
      </w:pP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 по основанию п.п. 4 п. 3 ; п.п.4 п. 21 ст. 39.11 ЗК РФ -  не указываются (в соответствии с основным видом разрешенного использования не предусматривается строительство капитального объекта)</w:t>
      </w:r>
      <w:r>
        <w:rPr>
          <w:rFonts w:eastAsia="Times New Roman" w:cs="Times New Roman"/>
          <w:b w:val="0"/>
          <w:bCs w:val="0"/>
          <w:lang w:eastAsia="ar-SA"/>
        </w:rPr>
      </w:r>
      <w:r>
        <w:rPr>
          <w:rFonts w:eastAsia="Times New Roman" w:cs="Times New Roman"/>
          <w:b w:val="0"/>
          <w:bCs w:val="0"/>
          <w:highlight w:val="none"/>
          <w:lang w:eastAsia="ar-SA"/>
        </w:rPr>
      </w:r>
    </w:p>
    <w:p>
      <w:pPr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8"/>
          <w:szCs w:val="28"/>
        </w:rPr>
      </w:pPr>
      <w:r>
        <w:rPr>
          <w:rFonts w:eastAsia="Times New Roman" w:cs="Times New Roman"/>
          <w:b w:val="0"/>
          <w:bCs w:val="0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Срок аренды земельного участка: в соответствии с подпунктом 3  пункта 8  статьи  39.8 Земе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л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ьного кодекса Российской Федерации -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20 лет .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Место, дата, время и порядок проведения аукциона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Аукцион будет проводиться </w:t>
      </w:r>
      <w:r>
        <w:rPr>
          <w:b/>
          <w:bCs/>
          <w:sz w:val="28"/>
          <w:szCs w:val="28"/>
        </w:rPr>
        <w:t xml:space="preserve"> 02 октября </w:t>
      </w:r>
      <w:r>
        <w:rPr>
          <w:b/>
          <w:bCs/>
          <w:sz w:val="28"/>
          <w:szCs w:val="28"/>
        </w:rPr>
        <w:t xml:space="preserve">2024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московское) на электронной площадке ООО «РТС-тендер» </w:t>
      </w:r>
      <w:r>
        <w:rPr>
          <w:sz w:val="28"/>
          <w:szCs w:val="28"/>
        </w:rPr>
        <w:t xml:space="preserve"> </w:t>
      </w:r>
      <w:hyperlink r:id="rId12" w:tooltip="https://www.rts-tender.ru/" w:history="1">
        <w:r>
          <w:rPr>
            <w:rStyle w:val="930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</w:t>
      </w:r>
      <w:r>
        <w:rPr>
          <w:sz w:val="28"/>
          <w:szCs w:val="28"/>
        </w:rPr>
        <w:t xml:space="preserve">.  </w:t>
      </w:r>
      <w:r>
        <w:rPr>
          <w:b/>
          <w:sz w:val="28"/>
          <w:szCs w:val="28"/>
        </w:rPr>
        <w:t xml:space="preserve">Форма торгов: </w:t>
      </w:r>
      <w:r>
        <w:rPr>
          <w:sz w:val="28"/>
          <w:szCs w:val="28"/>
        </w:rPr>
        <w:t xml:space="preserve">Торги проводятся в форме аукциона (открытого по форме подачи предложений</w:t>
      </w:r>
      <w:r>
        <w:rPr>
          <w:sz w:val="28"/>
          <w:szCs w:val="28"/>
        </w:rPr>
        <w:t xml:space="preserve"> в ходе проведения торгов) </w:t>
      </w:r>
      <w:r>
        <w:rPr>
          <w:sz w:val="28"/>
          <w:szCs w:val="28"/>
        </w:rPr>
        <w:t xml:space="preserve">в электронной форме на </w:t>
      </w:r>
      <w:r>
        <w:rPr>
          <w:iCs/>
          <w:sz w:val="28"/>
          <w:szCs w:val="28"/>
        </w:rPr>
        <w:t xml:space="preserve">электронной</w:t>
      </w:r>
      <w:r>
        <w:rPr>
          <w:sz w:val="28"/>
          <w:szCs w:val="28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30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Оператор электронной площадки – </w:t>
      </w:r>
      <w:r>
        <w:rPr>
          <w:sz w:val="28"/>
          <w:szCs w:val="28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30"/>
            <w:sz w:val="28"/>
            <w:szCs w:val="28"/>
            <w:shd w:val="clear" w:color="auto" w:fill="fbfbfb"/>
          </w:rPr>
          <w:t xml:space="preserve">https://www.rts-tender.ru/</w:t>
        </w:r>
      </w:hyperlink>
      <w:r>
        <w:rPr>
          <w:sz w:val="28"/>
          <w:szCs w:val="28"/>
        </w:rPr>
        <w:t xml:space="preserve"> - (далее - Оператор электронной площадки).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</w:t>
      </w:r>
      <w:r>
        <w:rPr>
          <w:sz w:val="28"/>
          <w:szCs w:val="28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30"/>
            <w:sz w:val="28"/>
            <w:szCs w:val="28"/>
            <w:shd w:val="clear" w:color="auto" w:fill="ffffff"/>
          </w:rPr>
          <w:t xml:space="preserve">info@rts-tender.ru</w:t>
        </w:r>
      </w:hyperlink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 xml:space="preserve"> Место и </w:t>
      </w:r>
      <w:r>
        <w:rPr>
          <w:b/>
          <w:sz w:val="28"/>
          <w:szCs w:val="28"/>
        </w:rPr>
        <w:t xml:space="preserve">срок подачи заявок: </w:t>
      </w:r>
      <w:r>
        <w:rPr>
          <w:sz w:val="28"/>
          <w:szCs w:val="28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30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 в сети «Интернет»: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начало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02 сентября </w:t>
      </w:r>
      <w:r>
        <w:rPr>
          <w:b/>
          <w:sz w:val="28"/>
          <w:szCs w:val="28"/>
          <w:shd w:val="clear" w:color="auto" w:fill="ffffff"/>
        </w:rPr>
        <w:t xml:space="preserve">2024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с</w:t>
      </w:r>
      <w:r>
        <w:t xml:space="preserve"> </w:t>
      </w:r>
      <w:r>
        <w:rPr>
          <w:b/>
          <w:sz w:val="28"/>
          <w:szCs w:val="28"/>
          <w:shd w:val="clear" w:color="auto" w:fill="ffffff"/>
        </w:rPr>
        <w:t xml:space="preserve"> 08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30 сентября </w:t>
      </w:r>
      <w:r>
        <w:rPr>
          <w:b/>
          <w:sz w:val="28"/>
          <w:szCs w:val="28"/>
          <w:shd w:val="clear" w:color="auto" w:fill="ffffff"/>
        </w:rPr>
        <w:t xml:space="preserve"> 2024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до 1</w:t>
      </w:r>
      <w:r>
        <w:rPr>
          <w:b/>
          <w:sz w:val="28"/>
          <w:szCs w:val="28"/>
          <w:shd w:val="clear" w:color="auto" w:fill="ffffff"/>
        </w:rPr>
        <w:t xml:space="preserve">6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8"/>
          <w:szCs w:val="28"/>
          <w:shd w:val="clear" w:color="auto" w:fill="ffffff"/>
        </w:rPr>
        <w:t xml:space="preserve">  </w:t>
      </w:r>
      <w:r>
        <w:rPr>
          <w:b/>
          <w:sz w:val="28"/>
          <w:szCs w:val="28"/>
          <w:shd w:val="clear" w:color="auto" w:fill="ffffff"/>
        </w:rPr>
        <w:t xml:space="preserve">01 октября</w:t>
      </w:r>
      <w:r>
        <w:rPr>
          <w:b/>
          <w:sz w:val="28"/>
          <w:szCs w:val="28"/>
          <w:shd w:val="clear" w:color="auto" w:fill="ffffff"/>
        </w:rPr>
        <w:t xml:space="preserve"> 2024</w:t>
      </w:r>
      <w:r>
        <w:rPr>
          <w:b/>
          <w:sz w:val="28"/>
          <w:szCs w:val="28"/>
          <w:shd w:val="clear" w:color="auto" w:fill="ffffff"/>
        </w:rPr>
        <w:t xml:space="preserve"> г.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</w:r>
      <w:r>
        <w:rPr>
          <w:b/>
          <w:bCs/>
          <w:sz w:val="28"/>
          <w:szCs w:val="28"/>
        </w:rPr>
        <w:t xml:space="preserve">аукцион</w:t>
      </w:r>
      <w:r>
        <w:rPr>
          <w:sz w:val="28"/>
          <w:szCs w:val="28"/>
        </w:rPr>
        <w:t xml:space="preserve"> - </w:t>
      </w:r>
      <w:bookmarkStart w:id="0" w:name="Par2"/>
      <w:r>
        <w:rPr>
          <w:sz w:val="28"/>
          <w:szCs w:val="28"/>
        </w:rPr>
      </w:r>
      <w:bookmarkEnd w:id="0"/>
      <w:r>
        <w:rPr>
          <w:b/>
          <w:bCs/>
          <w:sz w:val="28"/>
          <w:szCs w:val="28"/>
        </w:rPr>
        <w:t xml:space="preserve">02  октября</w:t>
      </w:r>
      <w:r>
        <w:rPr>
          <w:b/>
          <w:bCs/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</w:p>
    <w:p>
      <w:pPr>
        <w:pBdr/>
        <w:spacing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 Форма заявки на участие в аукционе, порядок приема, адрес места приема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8"/>
          <w:szCs w:val="28"/>
        </w:rPr>
        <w:t xml:space="preserve"> (далее ЭТП) </w:t>
      </w:r>
      <w:r>
        <w:rPr>
          <w:sz w:val="28"/>
          <w:szCs w:val="28"/>
        </w:rPr>
        <w:t xml:space="preserve">ООО «РТС-тендер» </w:t>
      </w:r>
      <w:hyperlink r:id="rId17" w:tooltip="https://www.rts-tender.ru/" w:history="1">
        <w:r>
          <w:rPr>
            <w:rStyle w:val="930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  <w:shd w:val="clear" w:color="auto" w:fill="ffffff"/>
        </w:rPr>
        <w:t xml:space="preserve">. Регистрация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осуществляется без взимания платы.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Регистрации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подлежат </w:t>
      </w:r>
      <w:r>
        <w:rPr>
          <w:sz w:val="28"/>
          <w:szCs w:val="28"/>
        </w:rPr>
        <w:t xml:space="preserve">Претенденты, ранее не зарегистрированные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или регистрация которых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была ими прекращена. Регистрация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проводится в соответствии с Регламентом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30"/>
            <w:sz w:val="28"/>
            <w:szCs w:val="28"/>
            <w:shd w:val="clear" w:color="auto" w:fill="ffffff"/>
          </w:rPr>
          <w:t xml:space="preserve">Правилами</w:t>
        </w:r>
      </w:hyperlink>
      <w:r>
        <w:rPr>
          <w:sz w:val="28"/>
          <w:szCs w:val="28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8"/>
          <w:szCs w:val="28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30"/>
            <w:sz w:val="28"/>
            <w:szCs w:val="28"/>
            <w:shd w:val="clear" w:color="auto" w:fill="ffffff"/>
          </w:rPr>
          <w:t xml:space="preserve">пунктами 13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30"/>
            <w:sz w:val="28"/>
            <w:szCs w:val="28"/>
            <w:shd w:val="clear" w:color="auto" w:fill="ffffff"/>
          </w:rPr>
          <w:t xml:space="preserve">14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30"/>
            <w:sz w:val="28"/>
            <w:szCs w:val="28"/>
            <w:shd w:val="clear" w:color="auto" w:fill="ffffff"/>
          </w:rPr>
          <w:t xml:space="preserve">20</w:t>
        </w:r>
      </w:hyperlink>
      <w:r>
        <w:rPr>
          <w:sz w:val="28"/>
          <w:szCs w:val="28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30"/>
            <w:sz w:val="28"/>
            <w:szCs w:val="28"/>
            <w:shd w:val="clear" w:color="auto" w:fill="ffffff"/>
          </w:rPr>
          <w:t xml:space="preserve">25 статьи 39.12</w:t>
        </w:r>
      </w:hyperlink>
      <w:r>
        <w:rPr>
          <w:sz w:val="28"/>
          <w:szCs w:val="28"/>
          <w:shd w:val="clear" w:color="auto" w:fill="ffffff"/>
        </w:rPr>
        <w:t xml:space="preserve"> Земельного кодекса Российской Федерации заключается договор аренды земельного участка плату за участие в аукционе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8"/>
          <w:szCs w:val="28"/>
        </w:rPr>
        <w:t xml:space="preserve"> размещенными </w:t>
      </w:r>
      <w:r>
        <w:rPr>
          <w:rFonts w:eastAsia="MS Mincho"/>
          <w:sz w:val="28"/>
          <w:szCs w:val="28"/>
        </w:rPr>
        <w:t xml:space="preserve">на электронной площадке </w:t>
      </w:r>
      <w:r>
        <w:rPr>
          <w:rFonts w:eastAsia="MS Mincho"/>
          <w:sz w:val="28"/>
          <w:szCs w:val="28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8"/>
          <w:szCs w:val="28"/>
        </w:rPr>
        <w:t xml:space="preserve">.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  <w:r>
        <w:rPr>
          <w:sz w:val="28"/>
          <w:szCs w:val="28"/>
          <w:shd w:val="clear" w:color="auto" w:fill="ffffff"/>
        </w:rPr>
        <w:t xml:space="preserve">(приложение № 1 к извещению) на у</w:t>
      </w:r>
      <w:r>
        <w:rPr>
          <w:sz w:val="28"/>
          <w:szCs w:val="28"/>
        </w:rPr>
        <w:t xml:space="preserve">частие в аукционе подается путем заполнения ее электронной формы</w:t>
      </w:r>
      <w:r>
        <w:rPr>
          <w:sz w:val="28"/>
          <w:szCs w:val="28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8"/>
          <w:szCs w:val="28"/>
        </w:rPr>
        <w:t xml:space="preserve">та 1 </w:t>
      </w:r>
      <w:r>
        <w:rPr>
          <w:sz w:val="28"/>
          <w:szCs w:val="28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Для участия в аукционе заявитель должен представить следующие документы: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Заявку на участие в аукционе по установленной в извещении о проведении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</w:rPr>
        <w:t xml:space="preserve">аукциона форме с указанием банковских реквизитов счета для возврата задатка.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Копии документов, удостоверяющих личность заявителя 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/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8"/>
          <w:szCs w:val="28"/>
        </w:rPr>
      </w:r>
      <w:r/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от имени Претендента действует его представитель по доверенности, к заявке должна быть приложена </w:t>
      </w:r>
      <w:r>
        <w:rPr>
          <w:sz w:val="28"/>
          <w:szCs w:val="28"/>
        </w:rPr>
        <w:t xml:space="preserve">нотариально заверенная копия </w:t>
      </w:r>
      <w:r>
        <w:rPr>
          <w:sz w:val="28"/>
          <w:szCs w:val="28"/>
        </w:rPr>
        <w:t xml:space="preserve">доверенност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осуществление действий от имени Претендента, оформленная в установленном порядке.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имеет право отозвать принятую организатором заявку на участие </w:t>
      </w:r>
      <w:r>
        <w:rPr>
          <w:sz w:val="28"/>
          <w:szCs w:val="28"/>
        </w:rPr>
        <w:br/>
        <w:t xml:space="preserve">в аукционе до дня окончания срока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/>
      </w:pPr>
      <w:r>
        <w:rPr>
          <w:sz w:val="28"/>
          <w:szCs w:val="28"/>
        </w:rPr>
        <w:t xml:space="preserve">       Порядок внесения  и возврата задатка о</w:t>
      </w:r>
      <w:r>
        <w:rPr>
          <w:sz w:val="28"/>
          <w:szCs w:val="28"/>
        </w:rPr>
        <w:t xml:space="preserve">существляется в соответствии с условиями аукционной документации. </w:t>
      </w:r>
      <w:r>
        <w:rPr>
          <w:sz w:val="28"/>
          <w:szCs w:val="28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 -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612 руб. 00 коп. (шестьсот двенадцать рублей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), который  </w:t>
      </w:r>
      <w:r>
        <w:rPr>
          <w:sz w:val="28"/>
          <w:szCs w:val="28"/>
        </w:rPr>
        <w:t xml:space="preserve">вносится  по следующим реквизитам:</w:t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Получатель: Комитет по финансам админис</w:t>
      </w:r>
      <w:r>
        <w:rPr>
          <w:sz w:val="28"/>
          <w:szCs w:val="28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40102810945370000034, казначейский счет: № 03232643346480004100, бан</w:t>
      </w:r>
      <w:r>
        <w:rPr>
          <w:sz w:val="28"/>
          <w:szCs w:val="28"/>
        </w:rPr>
        <w:t xml:space="preserve">к:  Отделение Кострома/ У</w:t>
      </w:r>
      <w:r>
        <w:rPr>
          <w:sz w:val="28"/>
          <w:szCs w:val="28"/>
        </w:rPr>
        <w:t xml:space="preserve">ФК по Костромской области, БИК: 0134691</w:t>
      </w:r>
      <w:r>
        <w:rPr>
          <w:sz w:val="28"/>
          <w:szCs w:val="28"/>
        </w:rPr>
        <w:t xml:space="preserve">26,  код бюджетной классиф</w:t>
      </w:r>
      <w:r>
        <w:rPr>
          <w:sz w:val="28"/>
          <w:szCs w:val="28"/>
        </w:rPr>
        <w:t xml:space="preserve">икации 90111406013100000430, ОКТМО 34648000 в графе «Назначение платежа»  указать  «Задаток для участия в аукционе на право заключения договора аренды  земельного участка с кадастровым номером 44:24:050801:242».  Задаток должен поступить на указанный счет </w:t>
      </w:r>
      <w:r>
        <w:rPr>
          <w:b w:val="0"/>
          <w:bCs w:val="0"/>
          <w:sz w:val="28"/>
          <w:szCs w:val="28"/>
        </w:rPr>
        <w:t xml:space="preserve">до  01 октября  2024 года</w:t>
      </w:r>
      <w:r>
        <w:rPr>
          <w:sz w:val="28"/>
          <w:szCs w:val="28"/>
        </w:rPr>
        <w:t xml:space="preserve">.  </w:t>
      </w:r>
      <w:r>
        <w:rPr>
          <w:rFonts w:eastAsia="Times New Roman" w:cs="Times New Roman"/>
          <w:sz w:val="28"/>
          <w:szCs w:val="28"/>
          <w:lang w:eastAsia="ar-SA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/>
      </w:pPr>
      <w:r>
        <w:rPr>
          <w:sz w:val="28"/>
          <w:szCs w:val="28"/>
        </w:rPr>
        <w:t xml:space="preserve"> Внесение задатка третьими лицами не допускается.</w:t>
      </w:r>
      <w:r>
        <w:rPr>
          <w:sz w:val="28"/>
          <w:szCs w:val="28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-задаток внесен лицом, признанным победителем аукциона; 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внесен лицом, признанным единственным участником аукциона, с которым договор аренды заключается в соответствии с пунктами 13,14, статьи 39.12 Земельного кодекса Российской Федерации;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 за</w:t>
      </w:r>
      <w:r>
        <w:rPr>
          <w:rFonts w:eastAsia="Times New Roman" w:cs="Times New Roman"/>
          <w:sz w:val="28"/>
          <w:szCs w:val="28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аренды заключается в соответствии с пунктом 20 статьи 39.12 Земельного кодекса Российской Федерации; 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Задатки, внесенные этими лицами, не заключившими в установленном порядке договоры аренды земельных участков вследствие уклонения от заключения указанных договоров, не возвращаются.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в течение 3 (трех) рабочих дней со дня оформления  протокола приема заявок на участие в аукционе в случае, если заявитель не допущен к участию в аукционе;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2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sz w:val="28"/>
          <w:szCs w:val="28"/>
          <w:lang w:eastAsia="ar-SA"/>
        </w:rPr>
      </w:r>
      <w:r>
        <w:rPr>
          <w:rFonts w:eastAsia="Times New Roman" w:cs="Times New Roman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Порядок  Рассмотрения заявок :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определения участников электронного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аукциона: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01 октября </w:t>
      </w:r>
      <w:r>
        <w:rPr>
          <w:b/>
          <w:sz w:val="28"/>
          <w:szCs w:val="28"/>
        </w:rPr>
        <w:t xml:space="preserve">2024 года.</w:t>
      </w:r>
      <w:r>
        <w:t xml:space="preserve"> </w:t>
      </w:r>
      <w:r>
        <w:rPr>
          <w:sz w:val="28"/>
          <w:szCs w:val="28"/>
        </w:rPr>
        <w:t xml:space="preserve"> 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В день определения участников аукциона, указанного в извещении о проведении аукциона на право заключения договора аренды земельного участка</w:t>
      </w:r>
      <w:r>
        <w:rPr>
          <w:sz w:val="28"/>
          <w:szCs w:val="28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,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Претендент приобретает статус участника аукциона с момента подписания протокола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.</w:t>
      </w:r>
      <w:r/>
    </w:p>
    <w:p>
      <w:pPr>
        <w:pBdr/>
        <w:spacing/>
        <w:ind w:firstLine="709"/>
        <w:contextualSpacing w:val="true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8"/>
          <w:szCs w:val="28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8"/>
          <w:szCs w:val="28"/>
        </w:rPr>
        <w:t xml:space="preserve">ной площадки для размещения</w:t>
      </w:r>
      <w:r>
        <w:t xml:space="preserve"> </w:t>
      </w:r>
      <w:r>
        <w:rPr>
          <w:sz w:val="28"/>
          <w:szCs w:val="28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30"/>
            <w:sz w:val="28"/>
            <w:szCs w:val="28"/>
            <w:lang w:val="en-US" w:bidi="en-US"/>
          </w:rPr>
          <w:t xml:space="preserve">www</w:t>
        </w:r>
        <w:r>
          <w:rPr>
            <w:rStyle w:val="930"/>
            <w:sz w:val="28"/>
            <w:szCs w:val="28"/>
            <w:lang w:bidi="en-US"/>
          </w:rPr>
          <w:t xml:space="preserve">.</w:t>
        </w:r>
        <w:r>
          <w:rPr>
            <w:rStyle w:val="930"/>
            <w:sz w:val="28"/>
            <w:szCs w:val="28"/>
            <w:lang w:val="en-US" w:bidi="en-US"/>
          </w:rPr>
          <w:t xml:space="preserve">torgi</w:t>
        </w:r>
        <w:r>
          <w:rPr>
            <w:rStyle w:val="930"/>
            <w:sz w:val="28"/>
            <w:szCs w:val="28"/>
            <w:lang w:bidi="en-US"/>
          </w:rPr>
          <w:t xml:space="preserve">.</w:t>
        </w:r>
        <w:r>
          <w:rPr>
            <w:rStyle w:val="930"/>
            <w:sz w:val="28"/>
            <w:szCs w:val="28"/>
            <w:lang w:val="en-US" w:bidi="en-US"/>
          </w:rPr>
          <w:t xml:space="preserve">gov</w:t>
        </w:r>
        <w:r>
          <w:rPr>
            <w:rStyle w:val="930"/>
            <w:sz w:val="28"/>
            <w:szCs w:val="28"/>
            <w:lang w:bidi="en-US"/>
          </w:rPr>
          <w:t xml:space="preserve">.</w:t>
        </w:r>
        <w:r>
          <w:rPr>
            <w:rStyle w:val="930"/>
            <w:sz w:val="28"/>
            <w:szCs w:val="28"/>
            <w:lang w:val="en-US" w:bidi="en-US"/>
          </w:rPr>
          <w:t xml:space="preserve">ru</w:t>
        </w:r>
      </w:hyperlink>
      <w:r>
        <w:rPr>
          <w:sz w:val="28"/>
          <w:szCs w:val="28"/>
          <w:lang w:bidi="en-US"/>
        </w:rPr>
        <w:t xml:space="preserve">.</w:t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/>
      </w:pPr>
      <w:r>
        <w:rPr>
          <w:sz w:val="28"/>
          <w:szCs w:val="28"/>
        </w:rPr>
        <w:t xml:space="preserve">Заявителям, признанным участниками электронного аукциона, </w:t>
      </w:r>
      <w:r>
        <w:rPr>
          <w:sz w:val="28"/>
          <w:szCs w:val="28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8"/>
          <w:szCs w:val="28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b/>
          <w:bCs/>
        </w:rPr>
      </w:r>
      <w:r/>
    </w:p>
    <w:p>
      <w:pPr>
        <w:pBdr/>
        <w:spacing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8"/>
          <w:szCs w:val="28"/>
        </w:rPr>
        <w:t xml:space="preserve">:</w:t>
      </w:r>
      <w:r>
        <w:rPr>
          <w:b w:val="0"/>
          <w:bCs w:val="0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непоступление задатка на </w:t>
      </w:r>
      <w:r>
        <w:rPr>
          <w:sz w:val="28"/>
          <w:szCs w:val="28"/>
          <w:shd w:val="clear" w:color="auto" w:fill="ffffff"/>
        </w:rPr>
        <w:t xml:space="preserve">дату рассмотрения заявок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подача заявки на участие в аукционе лицом, которое в соответствии </w:t>
      </w:r>
      <w:r>
        <w:rPr>
          <w:sz w:val="28"/>
          <w:szCs w:val="28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наличие свед</w:t>
      </w:r>
      <w:r>
        <w:rPr>
          <w:sz w:val="28"/>
          <w:szCs w:val="28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 . Порядок проведения аукциона в электронной форме: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Процедура аукциона проводится на </w:t>
      </w:r>
      <w:r>
        <w:rPr>
          <w:sz w:val="28"/>
          <w:szCs w:val="28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8"/>
            <w:szCs w:val="28"/>
          </w:rPr>
          <w:t xml:space="preserve">www.rts-tender.ru</w:t>
        </w:r>
      </w:hyperlink>
      <w:r>
        <w:rPr>
          <w:sz w:val="28"/>
          <w:szCs w:val="28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Со времени начала проведения процедуры аукциона оператором электронной площадки размещается: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в закрытой части электронной площадки - помимо инф</w:t>
      </w:r>
      <w:r>
        <w:rPr>
          <w:rFonts w:eastAsia="Calibri"/>
          <w:sz w:val="28"/>
          <w:szCs w:val="28"/>
          <w:lang w:eastAsia="en-US"/>
        </w:rPr>
        <w:t xml:space="preserve">ормации, указанной в открытой части электронной площадки, также предложения о цене  земельного участка и время их поступления, величина повышения начальной цены («шаг аукциона»), время, оставшееся до окончания приема предложений о цене 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течение одного часа со времени начала проведения процедуры аукциона участникам предлагается заявить о покупке земельного участка по начальной цене. В случае если в течение указанного времени: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поступило предложение о начальной цене земельного участка, то время для представления следующих предложений об увеличенной на «шаг аукциона» цене земельного участка продлевается на 10 минут со времени </w:t>
      </w:r>
      <w:r>
        <w:rPr>
          <w:rFonts w:eastAsia="Calibri"/>
          <w:sz w:val="28"/>
          <w:szCs w:val="28"/>
          <w:lang w:eastAsia="en-US"/>
        </w:rPr>
        <w:t xml:space="preserve">представления каждого следующего предложения. Если в течение 10 минут после представления последнего предложения о цене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не поступило ни одного предложения о начальной цене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земельного участка является время завершения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При этом программными средствами электронной площадки обеспечивается: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исключение возможности подачи участником предложения о цене земельного участка, не соответствующего увеличению текущей цены на величину «шага аукциона»;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уведомление участника в случае, если предложение этого участника о цене земельного участка не может быть принято в связи с подачей аналогичного предложения ранее другим участником.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аукциона признается участник, предложивший наибольшую цену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8"/>
          <w:szCs w:val="28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аренды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Аукцион признается несостоявшимся в следующих случаях: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проведении аукциона не поступило ни одного предложения</w:t>
      </w:r>
      <w:r>
        <w:rPr>
          <w:sz w:val="28"/>
          <w:szCs w:val="28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13.  Отмена и приостановление аукциона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30"/>
            <w:rFonts w:eastAsia="Calibri"/>
            <w:sz w:val="28"/>
            <w:szCs w:val="28"/>
            <w:lang w:eastAsia="en-US"/>
          </w:rPr>
          <w:t xml:space="preserve">www.torgi.gov.ru</w:t>
        </w:r>
      </w:hyperlink>
      <w:r>
        <w:rPr>
          <w:rFonts w:eastAsia="Calibri"/>
          <w:sz w:val="28"/>
          <w:szCs w:val="28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6" w:tooltip="https://www.rts-tender.ru/" w:history="1">
        <w:r>
          <w:rPr>
            <w:rStyle w:val="930"/>
            <w:rFonts w:eastAsia="Calibri"/>
            <w:sz w:val="28"/>
            <w:szCs w:val="28"/>
            <w:lang w:val="en-US" w:eastAsia="en-US"/>
          </w:rPr>
          <w:t xml:space="preserve">https</w:t>
        </w:r>
        <w:r>
          <w:rPr>
            <w:rStyle w:val="930"/>
            <w:rFonts w:eastAsia="Calibri"/>
            <w:sz w:val="28"/>
            <w:szCs w:val="28"/>
            <w:lang w:eastAsia="en-US"/>
          </w:rPr>
          <w:t xml:space="preserve">://</w:t>
        </w:r>
        <w:r>
          <w:rPr>
            <w:rStyle w:val="930"/>
            <w:rFonts w:eastAsia="Calibri"/>
            <w:sz w:val="28"/>
            <w:szCs w:val="28"/>
            <w:lang w:val="en-US" w:eastAsia="en-US"/>
          </w:rPr>
          <w:t xml:space="preserve">www</w:t>
        </w:r>
        <w:r>
          <w:rPr>
            <w:rStyle w:val="930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30"/>
            <w:rFonts w:eastAsia="Calibri"/>
            <w:sz w:val="28"/>
            <w:szCs w:val="28"/>
            <w:lang w:val="en-US" w:eastAsia="en-US"/>
          </w:rPr>
          <w:t xml:space="preserve">rts</w:t>
        </w:r>
        <w:r>
          <w:rPr>
            <w:rStyle w:val="930"/>
            <w:rFonts w:eastAsia="Calibri"/>
            <w:sz w:val="28"/>
            <w:szCs w:val="28"/>
            <w:lang w:eastAsia="en-US"/>
          </w:rPr>
          <w:t xml:space="preserve">-</w:t>
        </w:r>
        <w:r>
          <w:rPr>
            <w:rStyle w:val="930"/>
            <w:rFonts w:eastAsia="Calibri"/>
            <w:sz w:val="28"/>
            <w:szCs w:val="28"/>
            <w:lang w:val="en-US" w:eastAsia="en-US"/>
          </w:rPr>
          <w:t xml:space="preserve">tender</w:t>
        </w:r>
        <w:r>
          <w:rPr>
            <w:rStyle w:val="930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30"/>
            <w:rFonts w:eastAsia="Calibri"/>
            <w:sz w:val="28"/>
            <w:szCs w:val="28"/>
            <w:lang w:val="en-US" w:eastAsia="en-US"/>
          </w:rPr>
          <w:t xml:space="preserve">ru</w:t>
        </w:r>
        <w:r>
          <w:rPr>
            <w:rStyle w:val="930"/>
            <w:rFonts w:eastAsia="Calibri"/>
            <w:sz w:val="28"/>
            <w:szCs w:val="28"/>
            <w:lang w:eastAsia="en-US"/>
          </w:rPr>
          <w:t xml:space="preserve">/</w:t>
        </w:r>
      </w:hyperlink>
      <w:r>
        <w:rPr>
          <w:rFonts w:eastAsia="Calibri"/>
          <w:sz w:val="28"/>
          <w:szCs w:val="28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3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  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2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.</w:t>
      </w:r>
      <w:r>
        <w:rPr>
          <w:rFonts w:eastAsia="Calibri"/>
          <w:sz w:val="28"/>
          <w:szCs w:val="28"/>
          <w:lang w:val="ru-RU"/>
        </w:rPr>
        <w:tab/>
      </w:r>
      <w:r>
        <w:rPr>
          <w:rFonts w:eastAsia="Calibri"/>
          <w:b w:val="0"/>
          <w:bCs/>
          <w:color w:val="000000"/>
          <w:sz w:val="28"/>
          <w:szCs w:val="28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  <w:r>
        <w:rPr>
          <w:sz w:val="28"/>
          <w:szCs w:val="28"/>
        </w:rPr>
      </w:r>
      <w:r>
        <w:rPr>
          <w:rFonts w:eastAsia="Calibri"/>
          <w:b w:val="0"/>
          <w:bCs/>
          <w:color w:val="00000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Организатор приостанавливает проведение аукциона</w:t>
      </w:r>
      <w:r>
        <w:rPr>
          <w:rFonts w:eastAsia="Calibri"/>
          <w:sz w:val="28"/>
          <w:szCs w:val="28"/>
          <w:lang w:eastAsia="en-US"/>
        </w:rPr>
        <w:t xml:space="preserve"> в случае технологического сбоя, зафиксированного программно-аппаратными средствами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, но не более чем на одни сутки. Возобновление </w:t>
      </w:r>
      <w:r>
        <w:rPr>
          <w:rFonts w:eastAsia="Calibri"/>
          <w:sz w:val="28"/>
          <w:szCs w:val="28"/>
          <w:lang w:eastAsia="en-US"/>
        </w:rPr>
        <w:t xml:space="preserve"> начинается с того момента, на котором процедура</w:t>
      </w:r>
      <w:r>
        <w:rPr>
          <w:rFonts w:eastAsia="Calibri"/>
          <w:sz w:val="28"/>
          <w:szCs w:val="28"/>
          <w:lang w:eastAsia="en-US"/>
        </w:rPr>
        <w:t xml:space="preserve"> аукциона</w:t>
      </w:r>
      <w:r>
        <w:rPr>
          <w:rFonts w:eastAsia="Calibri"/>
          <w:sz w:val="28"/>
          <w:szCs w:val="28"/>
          <w:lang w:eastAsia="en-US"/>
        </w:rPr>
        <w:t xml:space="preserve"> была прервана, у</w:t>
      </w:r>
      <w:r>
        <w:rPr>
          <w:rFonts w:eastAsia="Calibri"/>
          <w:sz w:val="28"/>
          <w:szCs w:val="28"/>
          <w:lang w:eastAsia="en-US"/>
        </w:rPr>
        <w:t xml:space="preserve">казанная информация направляется организатору для внесения в протокол </w:t>
      </w:r>
      <w:r>
        <w:rPr>
          <w:rFonts w:eastAsia="Calibri"/>
          <w:sz w:val="28"/>
          <w:szCs w:val="28"/>
          <w:lang w:eastAsia="en-US"/>
        </w:rPr>
        <w:t xml:space="preserve">о результатах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аукциона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 Заключение договора аренды земельного участка: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аренды земельного </w:t>
      </w:r>
      <w:r>
        <w:rPr>
          <w:sz w:val="28"/>
          <w:szCs w:val="28"/>
          <w:shd w:val="clear" w:color="auto" w:fill="ffffff"/>
        </w:rPr>
        <w:t xml:space="preserve">участка</w:t>
      </w:r>
      <w:r>
        <w:rPr>
          <w:sz w:val="28"/>
          <w:szCs w:val="28"/>
          <w:shd w:val="clear" w:color="auto" w:fill="ffffff"/>
        </w:rPr>
        <w:t xml:space="preserve"> с победителем аукциона заключается в установленном законодательством порядке не ранее чем через 10 </w:t>
      </w:r>
      <w:r>
        <w:rPr>
          <w:sz w:val="28"/>
          <w:szCs w:val="28"/>
          <w:shd w:val="clear" w:color="auto" w:fill="ffffff"/>
        </w:rPr>
        <w:t xml:space="preserve">(десять) </w:t>
      </w:r>
      <w:r>
        <w:rPr>
          <w:sz w:val="28"/>
          <w:szCs w:val="28"/>
          <w:shd w:val="clear" w:color="auto" w:fill="ffffff"/>
        </w:rPr>
        <w:t xml:space="preserve">дней </w:t>
      </w:r>
      <w:r>
        <w:rPr>
          <w:sz w:val="28"/>
          <w:szCs w:val="28"/>
          <w:shd w:val="clear" w:color="auto" w:fill="ffffff"/>
        </w:rPr>
        <w:t xml:space="preserve">и </w:t>
      </w:r>
      <w:r>
        <w:rPr>
          <w:bCs/>
          <w:sz w:val="28"/>
          <w:szCs w:val="28"/>
        </w:rPr>
        <w:t xml:space="preserve">не позднее 20 (двадцати) дней </w:t>
      </w:r>
      <w:r>
        <w:rPr>
          <w:sz w:val="28"/>
          <w:szCs w:val="28"/>
          <w:shd w:val="clear" w:color="auto" w:fill="ffffff"/>
        </w:rPr>
        <w:t xml:space="preserve">со дня размещения протокола о результатах электронного аукциона на официальном сайте Р</w:t>
      </w:r>
      <w:r>
        <w:rPr>
          <w:sz w:val="28"/>
          <w:szCs w:val="28"/>
        </w:rPr>
        <w:t xml:space="preserve">оссийской Федерации в сети «Интернет».</w:t>
      </w:r>
      <w:r>
        <w:rPr>
          <w:sz w:val="28"/>
          <w:szCs w:val="28"/>
        </w:rPr>
      </w:r>
    </w:p>
    <w:p>
      <w:pPr>
        <w:pBdr/>
        <w:tabs>
          <w:tab w:val="center" w:leader="none" w:pos="5076"/>
        </w:tabs>
        <w:spacing/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Передача земельного участка осуществляется по акту приема-передачи, заключаемому в простой письменной форме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зачисления денежных средств на расчетный счет Организатора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8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 отказе или уклонении победителя аукциона от заключения в установленный срок договора аренды земельного участка задаток ему не возвращается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Если договор </w:t>
      </w:r>
      <w:r>
        <w:rPr>
          <w:rFonts w:ascii="Times New Roman" w:hAnsi="Times New Roman"/>
          <w:sz w:val="28"/>
          <w:szCs w:val="28"/>
        </w:rPr>
        <w:t xml:space="preserve"> не будет подписан победителем аукциона, возможно его заключение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Нарушение срока подписания договора </w:t>
      </w:r>
      <w:r>
        <w:rPr>
          <w:sz w:val="28"/>
          <w:szCs w:val="28"/>
        </w:rPr>
        <w:t xml:space="preserve">аренды земельного участка считается уклонением от исполнения обязательств. </w:t>
      </w:r>
      <w:r>
        <w:rPr>
          <w:sz w:val="28"/>
          <w:szCs w:val="28"/>
        </w:rPr>
      </w:r>
      <w:r/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Сведения о победителе аукциона, уклонившемся от заключения договора </w:t>
      </w:r>
      <w:r>
        <w:rPr>
          <w:sz w:val="28"/>
          <w:szCs w:val="28"/>
        </w:rPr>
        <w:t xml:space="preserve">аренды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8"/>
          <w:szCs w:val="28"/>
        </w:rPr>
      </w:r>
      <w:r/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оплаты по договору аренды - безналичная. Заявленная цена оплачивается единовременно в полном объеме по реквизитам: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8"/>
        <w:pBdr/>
        <w:spacing w:line="240" w:lineRule="auto"/>
        <w:ind w:right="0" w:firstLine="0" w:left="0"/>
        <w:rPr>
          <w:rFonts w:cs="Tahoma"/>
        </w:rPr>
      </w:pPr>
      <w:r>
        <w:rPr>
          <w:sz w:val="28"/>
          <w:szCs w:val="28"/>
        </w:rPr>
        <w:t xml:space="preserve"> Получатель платежа – </w:t>
      </w:r>
      <w:r>
        <w:rPr>
          <w:rStyle w:val="967"/>
          <w:rFonts w:eastAsia="Times New Roman" w:cs="Tahoma"/>
          <w:b w:val="0"/>
          <w:bCs w:val="0"/>
          <w:sz w:val="28"/>
          <w:szCs w:val="28"/>
          <w:u w:val="single"/>
        </w:rPr>
        <w:t xml:space="preserve">Получатель: УФК по Костромской области (Администрация Шарьинского муниципального района л/с 04413008190) Банк: ОТДЕЛЕНИЕ КОСТРОМА БАНКА РОССИИ//УФК ПО КОСТРОМСКОЙ ОБЛАСТИ г. Кострома Б</w:t>
      </w:r>
      <w:r>
        <w:rPr>
          <w:rStyle w:val="967"/>
          <w:rFonts w:eastAsia="Times New Roman" w:cs="Tahoma"/>
          <w:b w:val="0"/>
          <w:bCs w:val="0"/>
          <w:sz w:val="28"/>
          <w:szCs w:val="28"/>
          <w:u w:val="single"/>
        </w:rPr>
        <w:t xml:space="preserve">ИК 013469126 Единый казначейский счет 40102810</w:t>
      </w:r>
      <w:r>
        <w:rPr>
          <w:rStyle w:val="967"/>
          <w:rFonts w:eastAsia="Times New Roman" w:cs="Tahoma"/>
          <w:b w:val="0"/>
          <w:bCs w:val="0"/>
          <w:sz w:val="28"/>
          <w:szCs w:val="28"/>
          <w:u w:val="single"/>
        </w:rPr>
        <w:t xml:space="preserve">945370000034  Казначейский счет 03100643000000014100, ИНН 4430001003, КПП 443001001, ОКТМО 34648412  код бюджетной классификации  </w:t>
      </w:r>
      <w:r>
        <w:rPr>
          <w:rStyle w:val="967"/>
          <w:rFonts w:eastAsia="Times New Roman"/>
          <w:sz w:val="28"/>
          <w:szCs w:val="28"/>
        </w:rPr>
        <w:t xml:space="preserve">901 111 05013 05 0000 120</w:t>
      </w:r>
      <w:r>
        <w:rPr>
          <w:rStyle w:val="967"/>
          <w:rFonts w:eastAsia="Times New Roman" w:cs="Tahoma"/>
          <w:b w:val="0"/>
          <w:bCs w:val="0"/>
          <w:sz w:val="28"/>
          <w:szCs w:val="28"/>
          <w:u w:val="single"/>
        </w:rPr>
        <w:t xml:space="preserve">, назначение платежа: аренда земельного участка.</w:t>
      </w:r>
      <w:r>
        <w:rPr>
          <w:rFonts w:cs="Tahoma"/>
        </w:rPr>
      </w:r>
      <w:r>
        <w:rPr>
          <w:rFonts w:cs="Tahoma"/>
        </w:rPr>
      </w:r>
    </w:p>
    <w:p>
      <w:pPr>
        <w:pStyle w:val="929"/>
        <w:pBdr/>
        <w:tabs>
          <w:tab w:val="num" w:leader="none" w:pos="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 Оплата по договору аренды земельного участка третьими лицами не допускается.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15.</w:t>
      </w:r>
      <w:r>
        <w:rPr>
          <w:sz w:val="28"/>
          <w:szCs w:val="28"/>
        </w:rPr>
        <w:t xml:space="preserve"> Дополнительно ознакомиться с формой заявки, проектом договора аренды земельного участка, </w:t>
      </w:r>
      <w:r>
        <w:rPr>
          <w:sz w:val="28"/>
          <w:szCs w:val="28"/>
        </w:rPr>
        <w:t xml:space="preserve"> а также иными дополнительными сведениями можно</w:t>
      </w:r>
      <w:r>
        <w:rPr>
          <w:sz w:val="28"/>
          <w:szCs w:val="28"/>
        </w:rPr>
        <w:t xml:space="preserve"> в комитете по управлению муниципальным имуществом и земельными ресурс</w:t>
      </w:r>
      <w:r>
        <w:rPr>
          <w:sz w:val="28"/>
          <w:szCs w:val="28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8"/>
          <w:szCs w:val="28"/>
        </w:rPr>
        <w:t xml:space="preserve"> часы работы  08.00 -17.00, перерыв на обед  с 12.00-13.00.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Глава Шарьинского муниципального района                                               Н.С.Глушаков</w:t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4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5">
    <w:name w:val="Intense Emphasis"/>
    <w:basedOn w:val="92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92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92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Strong"/>
    <w:basedOn w:val="925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92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92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92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51">
    <w:name w:val="Heading 1"/>
    <w:basedOn w:val="922"/>
    <w:next w:val="922"/>
    <w:link w:val="75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2">
    <w:name w:val="Heading 1 Char"/>
    <w:basedOn w:val="925"/>
    <w:link w:val="75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3">
    <w:name w:val="Heading 2 Char"/>
    <w:basedOn w:val="925"/>
    <w:link w:val="923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54">
    <w:name w:val="Heading 3 Char"/>
    <w:basedOn w:val="925"/>
    <w:link w:val="92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5">
    <w:name w:val="Heading 4"/>
    <w:basedOn w:val="922"/>
    <w:next w:val="922"/>
    <w:link w:val="75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6">
    <w:name w:val="Heading 4 Char"/>
    <w:basedOn w:val="925"/>
    <w:link w:val="75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57">
    <w:name w:val="Heading 5"/>
    <w:basedOn w:val="922"/>
    <w:next w:val="922"/>
    <w:link w:val="75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8">
    <w:name w:val="Heading 5 Char"/>
    <w:basedOn w:val="925"/>
    <w:link w:val="75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59">
    <w:name w:val="Heading 6"/>
    <w:basedOn w:val="922"/>
    <w:next w:val="922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0">
    <w:name w:val="Heading 6 Char"/>
    <w:basedOn w:val="925"/>
    <w:link w:val="759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1">
    <w:name w:val="Heading 7"/>
    <w:basedOn w:val="922"/>
    <w:next w:val="922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2">
    <w:name w:val="Heading 7 Char"/>
    <w:basedOn w:val="925"/>
    <w:link w:val="761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3">
    <w:name w:val="Heading 8"/>
    <w:basedOn w:val="922"/>
    <w:next w:val="922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4">
    <w:name w:val="Heading 8 Char"/>
    <w:basedOn w:val="925"/>
    <w:link w:val="76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5">
    <w:name w:val="Heading 9"/>
    <w:basedOn w:val="922"/>
    <w:next w:val="922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6">
    <w:name w:val="Heading 9 Char"/>
    <w:basedOn w:val="925"/>
    <w:link w:val="76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67">
    <w:name w:val="Title"/>
    <w:basedOn w:val="922"/>
    <w:next w:val="922"/>
    <w:link w:val="768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68">
    <w:name w:val="Title Char"/>
    <w:basedOn w:val="925"/>
    <w:link w:val="767"/>
    <w:uiPriority w:val="10"/>
    <w:pPr>
      <w:pBdr/>
      <w:spacing/>
      <w:ind/>
    </w:pPr>
    <w:rPr>
      <w:sz w:val="48"/>
      <w:szCs w:val="48"/>
    </w:rPr>
  </w:style>
  <w:style w:type="character" w:styleId="769">
    <w:name w:val="Subtitle Char"/>
    <w:basedOn w:val="925"/>
    <w:link w:val="929"/>
    <w:uiPriority w:val="11"/>
    <w:pPr>
      <w:pBdr/>
      <w:spacing/>
      <w:ind/>
    </w:pPr>
    <w:rPr>
      <w:sz w:val="24"/>
      <w:szCs w:val="24"/>
    </w:rPr>
  </w:style>
  <w:style w:type="paragraph" w:styleId="770">
    <w:name w:val="Quote"/>
    <w:basedOn w:val="922"/>
    <w:next w:val="922"/>
    <w:link w:val="771"/>
    <w:uiPriority w:val="29"/>
    <w:qFormat/>
    <w:pPr>
      <w:pBdr/>
      <w:spacing/>
      <w:ind w:right="720" w:left="720"/>
    </w:pPr>
    <w:rPr>
      <w:i/>
    </w:rPr>
  </w:style>
  <w:style w:type="character" w:styleId="771">
    <w:name w:val="Quote Char"/>
    <w:link w:val="770"/>
    <w:uiPriority w:val="29"/>
    <w:pPr>
      <w:pBdr/>
      <w:spacing/>
      <w:ind/>
    </w:pPr>
    <w:rPr>
      <w:i/>
    </w:rPr>
  </w:style>
  <w:style w:type="paragraph" w:styleId="772">
    <w:name w:val="Intense Quote"/>
    <w:basedOn w:val="922"/>
    <w:next w:val="922"/>
    <w:link w:val="77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3">
    <w:name w:val="Intense Quote Char"/>
    <w:link w:val="772"/>
    <w:uiPriority w:val="30"/>
    <w:pPr>
      <w:pBdr/>
      <w:spacing/>
      <w:ind/>
    </w:pPr>
    <w:rPr>
      <w:i/>
    </w:rPr>
  </w:style>
  <w:style w:type="paragraph" w:styleId="774">
    <w:name w:val="Header"/>
    <w:basedOn w:val="922"/>
    <w:link w:val="77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5">
    <w:name w:val="Header Char"/>
    <w:basedOn w:val="925"/>
    <w:link w:val="774"/>
    <w:uiPriority w:val="99"/>
    <w:pPr>
      <w:pBdr/>
      <w:spacing/>
      <w:ind/>
    </w:pPr>
  </w:style>
  <w:style w:type="paragraph" w:styleId="776">
    <w:name w:val="Footer"/>
    <w:basedOn w:val="922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7">
    <w:name w:val="Footer Char"/>
    <w:basedOn w:val="925"/>
    <w:link w:val="776"/>
    <w:uiPriority w:val="99"/>
    <w:pPr>
      <w:pBdr/>
      <w:spacing/>
      <w:ind/>
    </w:pPr>
  </w:style>
  <w:style w:type="paragraph" w:styleId="778">
    <w:name w:val="Caption"/>
    <w:basedOn w:val="922"/>
    <w:next w:val="922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79">
    <w:name w:val="Caption Char"/>
    <w:basedOn w:val="778"/>
    <w:link w:val="776"/>
    <w:uiPriority w:val="99"/>
    <w:pPr>
      <w:pBdr/>
      <w:spacing/>
      <w:ind/>
    </w:pPr>
  </w:style>
  <w:style w:type="table" w:styleId="780">
    <w:name w:val="Table Grid Light"/>
    <w:basedOn w:val="92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Plain Table 1"/>
    <w:basedOn w:val="92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Plain Table 2"/>
    <w:basedOn w:val="92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Plain Table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1 Light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1 Light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1 Light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2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2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3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3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4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4 - Accent 1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4 - Accent 2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 - Accent 3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4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5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6"/>
    <w:basedOn w:val="92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5 Dark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5 Dark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5 Dark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6 Colorful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6 Colorful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6 Colorful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7 Colorful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7 Colorful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7 Colorful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1 Light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1 Light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1 Light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2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2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3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3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4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4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5 Dark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5 Dark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5 Dark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6 Colorful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6 Colorful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6 Colorful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7 Colorful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7 Colorful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7 Colorful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ned - Accent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ned - Accent 1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ned - Accent 2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 3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4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5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6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&amp; Lined - Accent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&amp; Lined - Accent 1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&amp; Lined - Accent 2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 3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4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5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6"/>
    <w:basedOn w:val="92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- Accent 1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- Accent 2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- Accent 3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4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5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6"/>
    <w:basedOn w:val="92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5">
    <w:name w:val="footnote text"/>
    <w:basedOn w:val="922"/>
    <w:link w:val="90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06">
    <w:name w:val="Footnote Text Char"/>
    <w:link w:val="905"/>
    <w:uiPriority w:val="99"/>
    <w:pPr>
      <w:pBdr/>
      <w:spacing/>
      <w:ind/>
    </w:pPr>
    <w:rPr>
      <w:sz w:val="18"/>
    </w:rPr>
  </w:style>
  <w:style w:type="character" w:styleId="907">
    <w:name w:val="footnote reference"/>
    <w:basedOn w:val="925"/>
    <w:uiPriority w:val="99"/>
    <w:unhideWhenUsed/>
    <w:pPr>
      <w:pBdr/>
      <w:spacing/>
      <w:ind/>
    </w:pPr>
    <w:rPr>
      <w:vertAlign w:val="superscript"/>
    </w:rPr>
  </w:style>
  <w:style w:type="paragraph" w:styleId="908">
    <w:name w:val="endnote text"/>
    <w:basedOn w:val="922"/>
    <w:link w:val="90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09">
    <w:name w:val="Endnote Text Char"/>
    <w:link w:val="908"/>
    <w:uiPriority w:val="99"/>
    <w:pPr>
      <w:pBdr/>
      <w:spacing/>
      <w:ind/>
    </w:pPr>
    <w:rPr>
      <w:sz w:val="20"/>
    </w:rPr>
  </w:style>
  <w:style w:type="character" w:styleId="910">
    <w:name w:val="endnote reference"/>
    <w:basedOn w:val="925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toc 1"/>
    <w:basedOn w:val="922"/>
    <w:next w:val="922"/>
    <w:uiPriority w:val="39"/>
    <w:unhideWhenUsed/>
    <w:pPr>
      <w:pBdr/>
      <w:spacing w:after="57"/>
      <w:ind w:right="0" w:firstLine="0" w:left="0"/>
    </w:pPr>
  </w:style>
  <w:style w:type="paragraph" w:styleId="912">
    <w:name w:val="toc 2"/>
    <w:basedOn w:val="922"/>
    <w:next w:val="922"/>
    <w:uiPriority w:val="39"/>
    <w:unhideWhenUsed/>
    <w:pPr>
      <w:pBdr/>
      <w:spacing w:after="57"/>
      <w:ind w:right="0" w:firstLine="0" w:left="283"/>
    </w:pPr>
  </w:style>
  <w:style w:type="paragraph" w:styleId="913">
    <w:name w:val="toc 3"/>
    <w:basedOn w:val="922"/>
    <w:next w:val="922"/>
    <w:uiPriority w:val="39"/>
    <w:unhideWhenUsed/>
    <w:pPr>
      <w:pBdr/>
      <w:spacing w:after="57"/>
      <w:ind w:right="0" w:firstLine="0" w:left="567"/>
    </w:pPr>
  </w:style>
  <w:style w:type="paragraph" w:styleId="914">
    <w:name w:val="toc 4"/>
    <w:basedOn w:val="922"/>
    <w:next w:val="922"/>
    <w:uiPriority w:val="39"/>
    <w:unhideWhenUsed/>
    <w:pPr>
      <w:pBdr/>
      <w:spacing w:after="57"/>
      <w:ind w:right="0" w:firstLine="0" w:left="850"/>
    </w:pPr>
  </w:style>
  <w:style w:type="paragraph" w:styleId="915">
    <w:name w:val="toc 5"/>
    <w:basedOn w:val="922"/>
    <w:next w:val="922"/>
    <w:uiPriority w:val="39"/>
    <w:unhideWhenUsed/>
    <w:pPr>
      <w:pBdr/>
      <w:spacing w:after="57"/>
      <w:ind w:right="0" w:firstLine="0" w:left="1134"/>
    </w:pPr>
  </w:style>
  <w:style w:type="paragraph" w:styleId="916">
    <w:name w:val="toc 6"/>
    <w:basedOn w:val="922"/>
    <w:next w:val="922"/>
    <w:uiPriority w:val="39"/>
    <w:unhideWhenUsed/>
    <w:pPr>
      <w:pBdr/>
      <w:spacing w:after="57"/>
      <w:ind w:right="0" w:firstLine="0" w:left="1417"/>
    </w:pPr>
  </w:style>
  <w:style w:type="paragraph" w:styleId="917">
    <w:name w:val="toc 7"/>
    <w:basedOn w:val="922"/>
    <w:next w:val="922"/>
    <w:uiPriority w:val="39"/>
    <w:unhideWhenUsed/>
    <w:pPr>
      <w:pBdr/>
      <w:spacing w:after="57"/>
      <w:ind w:right="0" w:firstLine="0" w:left="1701"/>
    </w:pPr>
  </w:style>
  <w:style w:type="paragraph" w:styleId="918">
    <w:name w:val="toc 8"/>
    <w:basedOn w:val="922"/>
    <w:next w:val="922"/>
    <w:uiPriority w:val="39"/>
    <w:unhideWhenUsed/>
    <w:pPr>
      <w:pBdr/>
      <w:spacing w:after="57"/>
      <w:ind w:right="0" w:firstLine="0" w:left="1984"/>
    </w:pPr>
  </w:style>
  <w:style w:type="paragraph" w:styleId="919">
    <w:name w:val="toc 9"/>
    <w:basedOn w:val="922"/>
    <w:next w:val="922"/>
    <w:uiPriority w:val="39"/>
    <w:unhideWhenUsed/>
    <w:pPr>
      <w:pBdr/>
      <w:spacing w:after="57"/>
      <w:ind w:right="0" w:firstLine="0" w:left="2268"/>
    </w:p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qFormat/>
    <w:pPr>
      <w:pBdr/>
      <w:spacing/>
      <w:ind/>
    </w:pPr>
  </w:style>
  <w:style w:type="paragraph" w:styleId="923">
    <w:name w:val="Heading 2"/>
    <w:basedOn w:val="922"/>
    <w:next w:val="922"/>
    <w:link w:val="960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24">
    <w:name w:val="Heading 3"/>
    <w:basedOn w:val="922"/>
    <w:next w:val="922"/>
    <w:link w:val="937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25" w:default="1">
    <w:name w:val="Default Paragraph Font"/>
    <w:uiPriority w:val="1"/>
    <w:semiHidden/>
    <w:unhideWhenUsed/>
    <w:pPr>
      <w:pBdr/>
      <w:spacing/>
      <w:ind/>
    </w:pPr>
  </w:style>
  <w:style w:type="table" w:styleId="92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 w:default="1">
    <w:name w:val="No List"/>
    <w:uiPriority w:val="99"/>
    <w:semiHidden/>
    <w:unhideWhenUsed/>
    <w:pPr>
      <w:pBdr/>
      <w:spacing/>
      <w:ind/>
    </w:pPr>
  </w:style>
  <w:style w:type="paragraph" w:styleId="928">
    <w:name w:val="Plain Text"/>
    <w:basedOn w:val="922"/>
    <w:pPr>
      <w:pBdr/>
      <w:spacing/>
      <w:ind/>
    </w:pPr>
    <w:rPr>
      <w:rFonts w:ascii="Courier New" w:hAnsi="Courier New"/>
    </w:rPr>
  </w:style>
  <w:style w:type="paragraph" w:styleId="929">
    <w:name w:val="Subtitle"/>
    <w:basedOn w:val="922"/>
    <w:qFormat/>
    <w:pPr>
      <w:pBdr/>
      <w:spacing/>
      <w:ind/>
      <w:jc w:val="both"/>
    </w:pPr>
    <w:rPr>
      <w:sz w:val="24"/>
    </w:rPr>
  </w:style>
  <w:style w:type="character" w:styleId="930">
    <w:name w:val="Hyperlink"/>
    <w:pPr>
      <w:pBdr/>
      <w:spacing/>
      <w:ind/>
    </w:pPr>
    <w:rPr>
      <w:color w:val="0000ff"/>
      <w:u w:val="single"/>
    </w:rPr>
  </w:style>
  <w:style w:type="paragraph" w:styleId="931">
    <w:name w:val="Balloon Text"/>
    <w:basedOn w:val="922"/>
    <w:link w:val="932"/>
    <w:pPr>
      <w:pBdr/>
      <w:spacing/>
      <w:ind/>
    </w:pPr>
    <w:rPr>
      <w:rFonts w:ascii="Tahoma" w:hAnsi="Tahoma" w:cs="Tahoma"/>
      <w:sz w:val="16"/>
      <w:szCs w:val="16"/>
    </w:rPr>
  </w:style>
  <w:style w:type="character" w:styleId="932" w:customStyle="1">
    <w:name w:val="Текст выноски Знак"/>
    <w:link w:val="931"/>
    <w:pPr>
      <w:pBdr/>
      <w:spacing/>
      <w:ind/>
    </w:pPr>
    <w:rPr>
      <w:rFonts w:ascii="Tahoma" w:hAnsi="Tahoma" w:cs="Tahoma"/>
      <w:sz w:val="16"/>
      <w:szCs w:val="16"/>
    </w:rPr>
  </w:style>
  <w:style w:type="paragraph" w:styleId="933" w:customStyle="1">
    <w:name w:val="ConsPlusNormal"/>
    <w:link w:val="954"/>
    <w:pPr>
      <w:pBdr/>
      <w:spacing/>
      <w:ind/>
    </w:pPr>
    <w:rPr>
      <w:sz w:val="22"/>
      <w:szCs w:val="22"/>
    </w:rPr>
  </w:style>
  <w:style w:type="paragraph" w:styleId="934" w:customStyle="1">
    <w:name w:val="Char Знак"/>
    <w:basedOn w:val="922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35">
    <w:name w:val="Body Text 2"/>
    <w:basedOn w:val="922"/>
    <w:link w:val="936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36" w:customStyle="1">
    <w:name w:val="Основной текст 2 Знак"/>
    <w:link w:val="935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37" w:customStyle="1">
    <w:name w:val="Заголовок 3 Знак"/>
    <w:link w:val="924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38" w:customStyle="1">
    <w:name w:val="Абзац списка1"/>
    <w:basedOn w:val="922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39" w:customStyle="1">
    <w:name w:val="Табличный_заголовки"/>
    <w:basedOn w:val="922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40" w:customStyle="1">
    <w:name w:val="Char Знак"/>
    <w:basedOn w:val="922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41" w:customStyle="1">
    <w:name w:val="Без интервала1"/>
    <w:link w:val="942"/>
    <w:pPr>
      <w:pBdr/>
      <w:spacing/>
      <w:ind/>
    </w:pPr>
    <w:rPr>
      <w:rFonts w:ascii="Calibri" w:hAnsi="Calibri"/>
      <w:sz w:val="24"/>
      <w:szCs w:val="24"/>
    </w:rPr>
  </w:style>
  <w:style w:type="character" w:styleId="942" w:customStyle="1">
    <w:name w:val="Без интервала Знак"/>
    <w:link w:val="941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43">
    <w:name w:val="Table Grid"/>
    <w:basedOn w:val="926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4">
    <w:name w:val="Emphasis"/>
    <w:qFormat/>
    <w:pPr>
      <w:pBdr/>
      <w:spacing/>
      <w:ind/>
    </w:pPr>
    <w:rPr>
      <w:rFonts w:cs="Times New Roman"/>
      <w:i/>
      <w:iCs/>
    </w:rPr>
  </w:style>
  <w:style w:type="character" w:styleId="945" w:customStyle="1">
    <w:name w:val="ecattext"/>
    <w:pPr>
      <w:pBdr/>
      <w:spacing/>
      <w:ind/>
    </w:pPr>
    <w:rPr>
      <w:rFonts w:cs="Times New Roman"/>
    </w:rPr>
  </w:style>
  <w:style w:type="paragraph" w:styleId="946">
    <w:name w:val="Body Text Indent 2"/>
    <w:basedOn w:val="922"/>
    <w:pPr>
      <w:pBdr/>
      <w:spacing w:after="120" w:line="480" w:lineRule="auto"/>
      <w:ind w:left="283"/>
    </w:pPr>
  </w:style>
  <w:style w:type="character" w:styleId="947">
    <w:name w:val="annotation reference"/>
    <w:semiHidden/>
    <w:pPr>
      <w:pBdr/>
      <w:spacing/>
      <w:ind/>
    </w:pPr>
    <w:rPr>
      <w:sz w:val="16"/>
      <w:szCs w:val="16"/>
    </w:rPr>
  </w:style>
  <w:style w:type="paragraph" w:styleId="948">
    <w:name w:val="annotation text"/>
    <w:basedOn w:val="922"/>
    <w:link w:val="956"/>
    <w:semiHidden/>
    <w:pPr>
      <w:pBdr/>
      <w:spacing/>
      <w:ind/>
    </w:pPr>
  </w:style>
  <w:style w:type="paragraph" w:styleId="949">
    <w:name w:val="annotation subject"/>
    <w:basedOn w:val="948"/>
    <w:next w:val="948"/>
    <w:semiHidden/>
    <w:pPr>
      <w:pBdr/>
      <w:spacing/>
      <w:ind/>
    </w:pPr>
    <w:rPr>
      <w:b/>
      <w:bCs/>
    </w:rPr>
  </w:style>
  <w:style w:type="character" w:styleId="950" w:customStyle="1">
    <w:name w:val="blk"/>
    <w:pPr>
      <w:pBdr/>
      <w:spacing/>
      <w:ind/>
    </w:pPr>
    <w:rPr>
      <w:rFonts w:cs="Times New Roman"/>
    </w:rPr>
  </w:style>
  <w:style w:type="paragraph" w:styleId="951" w:customStyle="1">
    <w:name w:val="_абзац"/>
    <w:basedOn w:val="922"/>
    <w:link w:val="955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52" w:customStyle="1">
    <w:name w:val="Абзац"/>
    <w:basedOn w:val="922"/>
    <w:link w:val="953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53" w:customStyle="1">
    <w:name w:val="Абзац Знак"/>
    <w:link w:val="952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54" w:customStyle="1">
    <w:name w:val="ConsPlusNormal Знак"/>
    <w:link w:val="933"/>
    <w:pPr>
      <w:pBdr/>
      <w:spacing/>
      <w:ind/>
    </w:pPr>
    <w:rPr>
      <w:sz w:val="22"/>
      <w:szCs w:val="22"/>
      <w:lang w:val="ru-RU" w:eastAsia="ru-RU" w:bidi="ar-SA"/>
    </w:rPr>
  </w:style>
  <w:style w:type="character" w:styleId="955" w:customStyle="1">
    <w:name w:val="_абзац Знак"/>
    <w:link w:val="951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56" w:customStyle="1">
    <w:name w:val="Текст примечания Знак"/>
    <w:link w:val="948"/>
    <w:semiHidden/>
    <w:pPr>
      <w:pBdr/>
      <w:spacing/>
      <w:ind/>
    </w:pPr>
    <w:rPr>
      <w:lang w:val="ru-RU" w:eastAsia="ru-RU" w:bidi="ar-SA"/>
    </w:rPr>
  </w:style>
  <w:style w:type="paragraph" w:styleId="957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58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59">
    <w:name w:val="List Paragraph"/>
    <w:basedOn w:val="922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60" w:customStyle="1">
    <w:name w:val="Заголовок 2 Знак"/>
    <w:link w:val="923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61">
    <w:name w:val="Body Text Indent"/>
    <w:basedOn w:val="922"/>
    <w:link w:val="962"/>
    <w:pPr>
      <w:pBdr/>
      <w:spacing w:after="120"/>
      <w:ind w:left="283"/>
    </w:pPr>
  </w:style>
  <w:style w:type="character" w:styleId="962" w:customStyle="1">
    <w:name w:val="Основной текст с отступом Знак"/>
    <w:basedOn w:val="925"/>
    <w:link w:val="961"/>
    <w:pPr>
      <w:pBdr/>
      <w:spacing/>
      <w:ind/>
    </w:pPr>
  </w:style>
  <w:style w:type="paragraph" w:styleId="963" w:customStyle="1">
    <w:name w:val="rezul"/>
    <w:basedOn w:val="922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964" w:customStyle="1">
    <w:name w:val="Char Знак"/>
    <w:basedOn w:val="922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65" w:customStyle="1">
    <w:name w:val="Char Знак"/>
    <w:basedOn w:val="922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966" w:customStyle="1">
    <w:name w:val="Интернет-ссылка"/>
    <w:basedOn w:val="755"/>
    <w:next w:val="756"/>
    <w:pPr>
      <w:pBdr/>
      <w:spacing/>
      <w:ind/>
    </w:pPr>
    <w:rPr>
      <w:color w:val="0000ff"/>
      <w:u w:val="single"/>
    </w:rPr>
  </w:style>
  <w:style w:type="character" w:styleId="967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968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33</cp:revision>
  <dcterms:created xsi:type="dcterms:W3CDTF">2023-05-03T05:29:00Z</dcterms:created>
  <dcterms:modified xsi:type="dcterms:W3CDTF">2024-08-30T07:51:43Z</dcterms:modified>
</cp:coreProperties>
</file>